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algun Gothic" w:cs="Malgun Gothic" w:eastAsia="Malgun Gothic" w:hAnsi="Malgun Gothic"/>
          <w:b/>
          <w:bCs/>
          <w:color w:val="1F6FE5"/>
          <w:sz w:val="36"/>
          <w:szCs w:val="36"/>
        </w:rPr>
        <w:t xml:space="preserve">● Kodex</w:t>
      </w:r>
    </w:p>
    <w:p>
      <w:pPr>
        <w:jc w:val="right"/>
      </w:pPr>
      <w:r>
        <w:rPr>
          <w:rFonts w:ascii="Malgun Gothic" w:cs="Malgun Gothic" w:eastAsia="Malgun Gothic" w:hAnsi="Malgun Gothic"/>
          <w:color w:val="1F4EA0"/>
          <w:sz w:val="16"/>
          <w:szCs w:val="16"/>
        </w:rPr>
        <w:t xml:space="preserve">| 판매사 사내한 |</w:t>
      </w:r>
    </w:p>
    <w:p>
      <w:pPr>
        <w:spacing w:before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2026-03-31 기준</w:t>
      </w:r>
    </w:p>
    <w:p>
      <w:r>
        <w:rPr>
          <w:rFonts w:ascii="Malgun Gothic" w:cs="Malgun Gothic" w:eastAsia="Malgun Gothic" w:hAnsi="Malgun Gothic"/>
          <w:color w:val="566070"/>
          <w:sz w:val="18"/>
          <w:szCs w:val="18"/>
        </w:rPr>
        <w:t xml:space="preserve">삼성자산운용 연금마케팅팀</w:t>
      </w:r>
    </w:p>
    <w:p>
      <w:r>
        <w:rPr>
          <w:rFonts w:ascii="Malgun Gothic" w:cs="Malgun Gothic" w:eastAsia="Malgun Gothic" w:hAnsi="Malgun Gothic"/>
          <w:color w:val="566070"/>
          <w:sz w:val="18"/>
          <w:szCs w:val="18"/>
        </w:rPr>
        <w:t xml:space="preserve">pension.fund@samsung.com</w:t>
      </w:r>
    </w:p>
    <w:p>
      <w:pPr>
        <w:spacing w:after="200"/>
        <w:jc w:val="right"/>
      </w:pPr>
      <w:r>
        <w:rPr>
          <w:rFonts w:ascii="Malgun Gothic" w:cs="Malgun Gothic" w:eastAsia="Malgun Gothic" w:hAnsi="Malgun Gothic"/>
          <w:b/>
          <w:bCs/>
          <w:color w:val="1F6FE5"/>
          <w:sz w:val="28"/>
          <w:szCs w:val="28"/>
        </w:rPr>
        <w:t xml:space="preserve">Kodex </w:t>
      </w:r>
      <w:r>
        <w:rPr>
          <w:rFonts w:ascii="Malgun Gothic" w:cs="Malgun Gothic" w:eastAsia="Malgun Gothic" w:hAnsi="Malgun Gothic"/>
          <w:b/>
          <w:bCs/>
          <w:sz w:val="28"/>
          <w:szCs w:val="28"/>
        </w:rPr>
        <w:t xml:space="preserve">KODEX 200 ETF 이슈 리포트</w:t>
      </w:r>
    </w:p>
    <w:p>
      <w:pPr>
        <w:spacing w:after="120" w:before="240"/>
      </w:pPr>
      <w:r>
        <w:rPr>
          <w:rFonts w:ascii="Malgun Gothic" w:cs="Malgun Gothic" w:eastAsia="Malgun Gothic" w:hAnsi="Malgun Gothic"/>
          <w:b/>
          <w:bCs/>
          <w:color w:val="1F6FE5"/>
          <w:sz w:val="26"/>
          <w:szCs w:val="26"/>
        </w:rPr>
        <w:t xml:space="preserve">◉ </w:t>
      </w:r>
      <w:r>
        <w:rPr>
          <w:rFonts w:ascii="Malgun Gothic" w:cs="Malgun Gothic" w:eastAsia="Malgun Gothic" w:hAnsi="Malgun Gothic"/>
          <w:b/>
          <w:bCs/>
          <w:color w:val="1F4EA0"/>
          <w:sz w:val="24"/>
          <w:szCs w:val="24"/>
        </w:rPr>
        <w:t xml:space="preserve">ETF 성과 추이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5B7FB4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FFFFFF"/>
                <w:sz w:val="16"/>
                <w:szCs w:val="16"/>
              </w:rPr>
              <w:t xml:space="preserve">구분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5B7FB4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FFFFFF"/>
                <w:sz w:val="16"/>
                <w:szCs w:val="16"/>
              </w:rPr>
              <w:t xml:space="preserve">1개월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5B7FB4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FFFFFF"/>
                <w:sz w:val="16"/>
                <w:szCs w:val="16"/>
              </w:rPr>
              <w:t xml:space="preserve">3개월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5B7FB4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FFFFFF"/>
                <w:sz w:val="16"/>
                <w:szCs w:val="16"/>
              </w:rPr>
              <w:t xml:space="preserve">6개월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5B7FB4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FFFFFF"/>
                <w:sz w:val="16"/>
                <w:szCs w:val="16"/>
              </w:rPr>
              <w:t xml:space="preserve">1년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5B7FB4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FFFFFF"/>
                <w:sz w:val="16"/>
                <w:szCs w:val="16"/>
              </w:rPr>
              <w:t xml:space="preserve">연초후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5B7FB4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FFFFFF"/>
                <w:sz w:val="16"/>
                <w:szCs w:val="16"/>
              </w:rPr>
              <w:t xml:space="preserve">상장후</w:t>
            </w:r>
          </w:p>
        </w:tc>
      </w:tr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EEF2F8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6"/>
                <w:szCs w:val="16"/>
              </w:rPr>
              <w:t xml:space="preserve">ETF 수익률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6"/>
                <w:szCs w:val="16"/>
              </w:rPr>
              <w:t xml:space="preserve">-4.89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6"/>
                <w:szCs w:val="16"/>
              </w:rPr>
              <w:t xml:space="preserve">6.65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6"/>
                <w:szCs w:val="16"/>
              </w:rPr>
              <w:t xml:space="preserve">9.55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6"/>
                <w:szCs w:val="16"/>
              </w:rPr>
              <w:t xml:space="preserve">19.69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6"/>
                <w:szCs w:val="16"/>
              </w:rPr>
              <w:t xml:space="preserve">6.65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6"/>
                <w:szCs w:val="16"/>
              </w:rPr>
              <w:t xml:space="preserve">55.81</w:t>
            </w:r>
          </w:p>
        </w:tc>
      </w:tr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EEF2F8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6"/>
                <w:szCs w:val="16"/>
              </w:rPr>
              <w:t xml:space="preserve">BM 수익률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6"/>
                <w:szCs w:val="16"/>
              </w:rPr>
              <w:t xml:space="preserve">-4.2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6"/>
                <w:szCs w:val="16"/>
              </w:rPr>
              <w:t xml:space="preserve">6.7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6"/>
                <w:szCs w:val="16"/>
              </w:rPr>
              <w:t xml:space="preserve">9.6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6"/>
                <w:szCs w:val="16"/>
              </w:rPr>
              <w:t xml:space="preserve">18.9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6"/>
                <w:szCs w:val="16"/>
              </w:rPr>
              <w:t xml:space="preserve">6.4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6"/>
                <w:szCs w:val="16"/>
              </w:rPr>
              <w:t xml:space="preserve">45.7</w:t>
            </w:r>
          </w:p>
        </w:tc>
      </w:tr>
    </w:tbl>
    <w:p>
      <w:pPr>
        <w:spacing w:after="160" w:before="80"/>
      </w:pPr>
      <w:r>
        <w:rPr>
          <w:rFonts w:ascii="Malgun Gothic" w:cs="Malgun Gothic" w:eastAsia="Malgun Gothic" w:hAnsi="Malgun Gothic"/>
          <w:color w:val="8A93A5"/>
          <w:sz w:val="14"/>
          <w:szCs w:val="14"/>
        </w:rPr>
        <w:t xml:space="preserve">자료 : 삼성자산운용 2026.03.31 기준, 단위 : %  ·  BM : 배당성장 채권혼합지수</w:t>
      </w:r>
    </w:p>
    <w:p>
      <w:pPr>
        <w:spacing w:after="120" w:before="240"/>
      </w:pPr>
      <w:r>
        <w:rPr>
          <w:rFonts w:ascii="Malgun Gothic" w:cs="Malgun Gothic" w:eastAsia="Malgun Gothic" w:hAnsi="Malgun Gothic"/>
          <w:b/>
          <w:bCs/>
          <w:color w:val="1F6FE5"/>
          <w:sz w:val="26"/>
          <w:szCs w:val="26"/>
        </w:rPr>
        <w:t xml:space="preserve">◉ </w:t>
      </w:r>
      <w:r>
        <w:rPr>
          <w:rFonts w:ascii="Malgun Gothic" w:cs="Malgun Gothic" w:eastAsia="Malgun Gothic" w:hAnsi="Malgun Gothic"/>
          <w:b/>
          <w:bCs/>
          <w:color w:val="1F4EA0"/>
          <w:sz w:val="24"/>
          <w:szCs w:val="24"/>
        </w:rPr>
        <w:t xml:space="preserve">ETF Top 10 보유내역</w:t>
      </w:r>
    </w:p>
    <w:tbl>
      <w:tblPr>
        <w:tblW w:type="pct" w:w="7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3A63A8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FFFFFF"/>
                <w:sz w:val="16"/>
                <w:szCs w:val="16"/>
              </w:rPr>
              <w:t xml:space="preserve">No.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3A63A8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FFFFFF"/>
                <w:sz w:val="16"/>
                <w:szCs w:val="16"/>
              </w:rPr>
              <w:t xml:space="preserve">종목명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3A63A8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FFFFFF"/>
                <w:sz w:val="16"/>
                <w:szCs w:val="16"/>
              </w:rPr>
              <w:t xml:space="preserve">보유비중(%)</w:t>
            </w:r>
          </w:p>
        </w:tc>
      </w:tr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1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삼성전자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31.68</w:t>
            </w:r>
          </w:p>
        </w:tc>
      </w:tr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2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SK하이닉스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18.42</w:t>
            </w:r>
          </w:p>
        </w:tc>
      </w:tr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3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현대차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2.45</w:t>
            </w:r>
          </w:p>
        </w:tc>
      </w:tr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4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SK스퀘어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1.78</w:t>
            </w:r>
          </w:p>
        </w:tc>
      </w:tr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5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KB금융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1.78</w:t>
            </w:r>
          </w:p>
        </w:tc>
      </w:tr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6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한화에어로스페이스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1.64</w:t>
            </w:r>
          </w:p>
        </w:tc>
      </w:tr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7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두산에너빌리티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1.55</w:t>
            </w:r>
          </w:p>
        </w:tc>
      </w:tr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8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신한지주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1.42</w:t>
            </w:r>
          </w:p>
        </w:tc>
      </w:tr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9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NAVER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1.32</w:t>
            </w:r>
          </w:p>
        </w:tc>
      </w:tr>
      <w:tr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10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셀트리온</w:t>
            </w:r>
          </w:p>
        </w:tc>
        <w:tc>
          <w:tcPr>
            <w:tcBorders>
              <w:top w:val="single" w:color="CFD6E4" w:sz="4"/>
              <w:left w:val="single" w:color="CFD6E4" w:sz="4"/>
              <w:bottom w:val="single" w:color="CFD6E4" w:sz="4"/>
              <w:right w:val="single" w:color="CFD6E4" w:sz="4"/>
            </w:tcBorders>
            <w:shd w:color="F6F8FC" w:val="solid"/>
          </w:tcPr>
          <w:p>
            <w:pPr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1.21</w:t>
            </w:r>
          </w:p>
        </w:tc>
      </w:tr>
    </w:tbl>
    <w:p>
      <w:pPr>
        <w:spacing w:after="160" w:before="80"/>
      </w:pPr>
      <w:r>
        <w:rPr>
          <w:rFonts w:ascii="Malgun Gothic" w:cs="Malgun Gothic" w:eastAsia="Malgun Gothic" w:hAnsi="Malgun Gothic"/>
          <w:color w:val="8A93A5"/>
          <w:sz w:val="14"/>
          <w:szCs w:val="14"/>
        </w:rPr>
        <w:t xml:space="preserve">총 보유종목 수: 58개  ·  자료 : 삼성자산운용, 2026.03.31 기준</w:t>
      </w:r>
    </w:p>
    <w:p>
      <w:pPr>
        <w:spacing w:after="120" w:before="240"/>
      </w:pPr>
      <w:r>
        <w:rPr>
          <w:rFonts w:ascii="Malgun Gothic" w:cs="Malgun Gothic" w:eastAsia="Malgun Gothic" w:hAnsi="Malgun Gothic"/>
          <w:b/>
          <w:bCs/>
          <w:color w:val="1F6FE5"/>
          <w:sz w:val="26"/>
          <w:szCs w:val="26"/>
        </w:rPr>
        <w:t xml:space="preserve">◉ </w:t>
      </w:r>
      <w:r>
        <w:rPr>
          <w:rFonts w:ascii="Malgun Gothic" w:cs="Malgun Gothic" w:eastAsia="Malgun Gothic" w:hAnsi="Malgun Gothic"/>
          <w:b/>
          <w:bCs/>
          <w:color w:val="1F4EA0"/>
          <w:sz w:val="24"/>
          <w:szCs w:val="24"/>
        </w:rPr>
        <w:t xml:space="preserve">Kodex 코리아배당성장채권혼합 ETF 리뷰</w:t>
      </w:r>
    </w:p>
    <w:p>
      <w:pPr>
        <w:spacing w:after="80"/>
        <w:ind w:left="200"/>
      </w:pPr>
      <w:r>
        <w:rPr>
          <w:rFonts w:ascii="Malgun Gothic" w:cs="Malgun Gothic" w:eastAsia="Malgun Gothic" w:hAnsi="Malgun Gothic"/>
          <w:b/>
          <w:bCs/>
          <w:color w:val="1F6FE5"/>
          <w:sz w:val="20"/>
          <w:szCs w:val="20"/>
        </w:rPr>
        <w:t xml:space="preserve">– </w:t>
      </w:r>
      <w:r>
        <w:rPr>
          <w:rFonts w:ascii="Malgun Gothic" w:cs="Malgun Gothic" w:eastAsia="Malgun Gothic" w:hAnsi="Malgun Gothic"/>
          <w:color w:val="2A3340"/>
          <w:sz w:val="19"/>
          <w:szCs w:val="19"/>
        </w:rPr>
        <w:t xml:space="preserve">최근 1개월 수익률이 -4.89%로 단기 조정 국면을 겪었으나, 1년 수익률 19.69% 및 상장 후 수익률 55.81%를 기록하며 중장기 성과는 양호하다.</w:t>
      </w:r>
    </w:p>
    <w:p>
      <w:pPr>
        <w:spacing w:after="80"/>
        <w:ind w:left="200"/>
      </w:pPr>
      <w:r>
        <w:rPr>
          <w:rFonts w:ascii="Malgun Gothic" w:cs="Malgun Gothic" w:eastAsia="Malgun Gothic" w:hAnsi="Malgun Gothic"/>
          <w:b/>
          <w:bCs/>
          <w:color w:val="1F6FE5"/>
          <w:sz w:val="20"/>
          <w:szCs w:val="20"/>
        </w:rPr>
        <w:t xml:space="preserve">– </w:t>
      </w:r>
      <w:r>
        <w:rPr>
          <w:rFonts w:ascii="Malgun Gothic" w:cs="Malgun Gothic" w:eastAsia="Malgun Gothic" w:hAnsi="Malgun Gothic"/>
          <w:color w:val="2A3340"/>
          <w:sz w:val="19"/>
          <w:szCs w:val="19"/>
        </w:rPr>
        <w:t xml:space="preserve">대형 반도체와 자동차 업종 중심의 수급 변동성 확대와 금리 경로 불확실성이 시장 투자심리에 영향을 미치고 있다.</w:t>
      </w:r>
    </w:p>
    <w:p>
      <w:pPr>
        <w:spacing w:after="80"/>
        <w:ind w:left="200"/>
      </w:pPr>
      <w:r>
        <w:rPr>
          <w:rFonts w:ascii="Malgun Gothic" w:cs="Malgun Gothic" w:eastAsia="Malgun Gothic" w:hAnsi="Malgun Gothic"/>
          <w:b/>
          <w:bCs/>
          <w:color w:val="1F6FE5"/>
          <w:sz w:val="20"/>
          <w:szCs w:val="20"/>
        </w:rPr>
        <w:t xml:space="preserve">– </w:t>
      </w:r>
      <w:r>
        <w:rPr>
          <w:rFonts w:ascii="Malgun Gothic" w:cs="Malgun Gothic" w:eastAsia="Malgun Gothic" w:hAnsi="Malgun Gothic"/>
          <w:color w:val="2A3340"/>
          <w:sz w:val="19"/>
          <w:szCs w:val="19"/>
        </w:rPr>
        <w:t xml:space="preserve">반도체 업황 회복 기대와 매크로 불확실성이 공존하는 가운데 단기 변동성 지속 가능성을 주시해야 한다.</w:t>
      </w:r>
    </w:p>
    <w:p>
      <w:pPr>
        <w:spacing w:after="120" w:before="240"/>
      </w:pPr>
      <w:r>
        <w:rPr>
          <w:rFonts w:ascii="Malgun Gothic" w:cs="Malgun Gothic" w:eastAsia="Malgun Gothic" w:hAnsi="Malgun Gothic"/>
          <w:b/>
          <w:bCs/>
          <w:color w:val="1F6FE5"/>
          <w:sz w:val="26"/>
          <w:szCs w:val="26"/>
        </w:rPr>
        <w:t xml:space="preserve">◉ </w:t>
      </w:r>
      <w:r>
        <w:rPr>
          <w:rFonts w:ascii="Malgun Gothic" w:cs="Malgun Gothic" w:eastAsia="Malgun Gothic" w:hAnsi="Malgun Gothic"/>
          <w:b/>
          <w:bCs/>
          <w:color w:val="1F4EA0"/>
          <w:sz w:val="24"/>
          <w:szCs w:val="24"/>
        </w:rPr>
        <w:t xml:space="preserve">Kodex 코리아배당성장채권혼합 ETF 향후 전망</w:t>
      </w:r>
    </w:p>
    <w:p>
      <w:pPr>
        <w:spacing w:after="80"/>
        <w:ind w:left="200"/>
      </w:pPr>
      <w:r>
        <w:rPr>
          <w:rFonts w:ascii="Malgun Gothic" w:cs="Malgun Gothic" w:eastAsia="Malgun Gothic" w:hAnsi="Malgun Gothic"/>
          <w:b/>
          <w:bCs/>
          <w:color w:val="1F6FE5"/>
          <w:sz w:val="20"/>
          <w:szCs w:val="20"/>
        </w:rPr>
        <w:t xml:space="preserve">– </w:t>
      </w:r>
      <w:r>
        <w:rPr>
          <w:rFonts w:ascii="Malgun Gothic" w:cs="Malgun Gothic" w:eastAsia="Malgun Gothic" w:hAnsi="Malgun Gothic"/>
          <w:color w:val="2A3340"/>
          <w:sz w:val="19"/>
          <w:szCs w:val="19"/>
        </w:rPr>
        <w:t xml:space="preserve">대형주 이익 개선과 주주환원 정책 구체화가 맞물릴 경우 완만한 회복 흐름이 가능하다.</w:t>
      </w:r>
    </w:p>
    <w:p>
      <w:pPr>
        <w:spacing w:after="80"/>
        <w:ind w:left="200"/>
      </w:pPr>
      <w:r>
        <w:rPr>
          <w:rFonts w:ascii="Malgun Gothic" w:cs="Malgun Gothic" w:eastAsia="Malgun Gothic" w:hAnsi="Malgun Gothic"/>
          <w:b/>
          <w:bCs/>
          <w:color w:val="1F6FE5"/>
          <w:sz w:val="20"/>
          <w:szCs w:val="20"/>
        </w:rPr>
        <w:t xml:space="preserve">– </w:t>
      </w:r>
      <w:r>
        <w:rPr>
          <w:rFonts w:ascii="Malgun Gothic" w:cs="Malgun Gothic" w:eastAsia="Malgun Gothic" w:hAnsi="Malgun Gothic"/>
          <w:color w:val="2A3340"/>
          <w:sz w:val="19"/>
          <w:szCs w:val="19"/>
        </w:rPr>
        <w:t xml:space="preserve">코스피 대형주 분산과 일부 방어주 비중은 하락 국면에서 손실 폭을 완화하는 방어적 효과를 발휘했다.</w:t>
      </w:r>
    </w:p>
    <w:p>
      <w:pPr>
        <w:spacing w:after="80"/>
        <w:ind w:left="200"/>
      </w:pPr>
      <w:r>
        <w:rPr>
          <w:rFonts w:ascii="Malgun Gothic" w:cs="Malgun Gothic" w:eastAsia="Malgun Gothic" w:hAnsi="Malgun Gothic"/>
          <w:b/>
          <w:bCs/>
          <w:color w:val="1F6FE5"/>
          <w:sz w:val="20"/>
          <w:szCs w:val="20"/>
        </w:rPr>
        <w:t xml:space="preserve">– </w:t>
      </w:r>
      <w:r>
        <w:rPr>
          <w:rFonts w:ascii="Malgun Gothic" w:cs="Malgun Gothic" w:eastAsia="Malgun Gothic" w:hAnsi="Malgun Gothic"/>
          <w:color w:val="2A3340"/>
          <w:sz w:val="19"/>
          <w:szCs w:val="19"/>
        </w:rPr>
        <w:t xml:space="preserve">기존 방어적 포트폴리오 구성이 유지되는 가운데, 대형주 실적 개선 국면 진입 시 자산 가치의 완만한 회복이 예상된다.</w:t>
      </w:r>
    </w:p>
    <w:p>
      <w:pPr>
        <w:spacing w:before="200"/>
      </w:pPr>
      <w:r>
        <w:rPr>
          <w:rFonts w:ascii="Malgun Gothic" w:cs="Malgun Gothic" w:eastAsia="Malgun Gothic" w:hAnsi="Malgun Gothic"/>
        </w:rPr>
        <w:t xml:space="preserve"/>
      </w:r>
    </w:p>
    <w:p>
      <w:pPr>
        <w:pBdr>
          <w:top w:val="single" w:color="D8DEEA" w:sz="4"/>
        </w:pBdr>
        <w:spacing w:before="120"/>
      </w:pP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Kodex</w:t>
      </w:r>
      <w:r>
        <w:rPr>
          <w:rFonts w:ascii="Malgun Gothic" w:cs="Malgun Gothic" w:eastAsia="Malgun Gothic" w:hAnsi="Malgun Gothic"/>
          <w:b/>
          <w:bCs/>
          <w:color w:val="1F4EA0"/>
          <w:sz w:val="20"/>
          <w:szCs w:val="20"/>
        </w:rPr>
        <w:t xml:space="preserve">        Samsung Asset Management</w:t>
      </w:r>
    </w:p>
    <w:p>
      <w:r>
        <w:rPr>
          <w:rFonts w:ascii="Malgun Gothic" w:cs="Malgun Gothic" w:eastAsia="Malgun Gothic" w:hAnsi="Malgun Gothic"/>
          <w:color w:val="9AA3B2"/>
          <w:sz w:val="13"/>
          <w:szCs w:val="13"/>
        </w:rPr>
        <w:t xml:space="preserve">* 상기 내용은 증권사 애널리스트 의견을 종합하여 작성한 것으로, 향후 시장 상황에 따라 변경될 수 있습니다.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2026-06-18T01:38:50.793Z</dcterms:created>
  <dcterms:modified xsi:type="dcterms:W3CDTF">2026-06-18T01:38:50.794Z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